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8F47" w14:textId="77777777" w:rsidR="00BF465A" w:rsidRDefault="002D223D">
      <w:pPr>
        <w:pBdr>
          <w:top w:val="nil"/>
          <w:left w:val="nil"/>
          <w:bottom w:val="nil"/>
          <w:right w:val="nil"/>
          <w:between w:val="nil"/>
        </w:pBdr>
        <w:spacing w:after="600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II.</w:t>
      </w:r>
    </w:p>
    <w:p w14:paraId="5C8786CF" w14:textId="77777777" w:rsidR="00BF465A" w:rsidRDefault="002D223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PŘEDKLÁDACÍ ZPRÁVA</w:t>
      </w:r>
    </w:p>
    <w:p w14:paraId="564BA23E" w14:textId="77777777" w:rsidR="00BF465A" w:rsidRDefault="002D223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>Návrh na změnu p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rogramu na podporu aplikovaného výzkumu, experimentálního vývoje 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  <w:t>a inovací Národní centra kompetence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předkládá vládě České republiky ke schválení Technologická agentura České republiky (dále jen „TA ČR“). Materiál obsahuje v části III. návrh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programu Národní centra kompetence. Návrh se předkládá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14:paraId="2E9C05B5" w14:textId="256A677E" w:rsidR="00BF465A" w:rsidRDefault="002D223D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je zaměřen</w:t>
      </w:r>
      <w:r>
        <w:rPr>
          <w:rFonts w:ascii="Arial" w:eastAsia="Arial" w:hAnsi="Arial" w:cs="Arial"/>
          <w:sz w:val="22"/>
          <w:szCs w:val="22"/>
        </w:rPr>
        <w:t xml:space="preserve"> na podporu dlouhodobé spolupráce mezi výzkumnou a aplikační sférou a posílení institucionální základny aplikovaného výzkumu. Podpora této spolupráce </w:t>
      </w:r>
      <w:r w:rsidR="00BC0337">
        <w:rPr>
          <w:rFonts w:ascii="Arial" w:eastAsia="Arial" w:hAnsi="Arial" w:cs="Arial"/>
          <w:sz w:val="22"/>
          <w:szCs w:val="22"/>
        </w:rPr>
        <w:t>byla</w:t>
      </w:r>
      <w:r w:rsidR="00F5103B">
        <w:rPr>
          <w:rFonts w:ascii="Arial" w:eastAsia="Arial" w:hAnsi="Arial" w:cs="Arial"/>
          <w:sz w:val="22"/>
          <w:szCs w:val="22"/>
        </w:rPr>
        <w:t xml:space="preserve"> původně</w:t>
      </w:r>
      <w:r w:rsidR="00BC0337">
        <w:rPr>
          <w:rFonts w:ascii="Arial" w:eastAsia="Arial" w:hAnsi="Arial" w:cs="Arial"/>
          <w:sz w:val="22"/>
          <w:szCs w:val="22"/>
        </w:rPr>
        <w:t xml:space="preserve"> plánována</w:t>
      </w:r>
      <w:r>
        <w:rPr>
          <w:rFonts w:ascii="Arial" w:eastAsia="Arial" w:hAnsi="Arial" w:cs="Arial"/>
          <w:sz w:val="22"/>
          <w:szCs w:val="22"/>
        </w:rPr>
        <w:t xml:space="preserve"> pomocí realizace dvou národních programů </w:t>
      </w:r>
      <w:r w:rsidR="00156D74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Národní centra kompetence 1 (NCK1) </w:t>
      </w:r>
      <w:r>
        <w:rPr>
          <w:rFonts w:ascii="Arial" w:eastAsia="Arial" w:hAnsi="Arial" w:cs="Arial"/>
          <w:sz w:val="22"/>
          <w:szCs w:val="22"/>
        </w:rPr>
        <w:br/>
        <w:t>s dobou trvání 2018</w:t>
      </w:r>
      <w:r w:rsidR="00285295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>2022 a Národní centra kompetence 2 (NCK2) s dobou trvání 2020</w:t>
      </w:r>
      <w:r w:rsidR="00285295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2026. Základem pro tvorbu programu NCK2 měly být zkušenosti získané z hodnocení realizace programu NCK1. Hodnocení v požadovaném rozsahu a kvalitě není </w:t>
      </w:r>
      <w:r w:rsidR="00BC27A1">
        <w:rPr>
          <w:rFonts w:ascii="Arial" w:eastAsia="Arial" w:hAnsi="Arial" w:cs="Arial"/>
          <w:sz w:val="22"/>
          <w:szCs w:val="22"/>
        </w:rPr>
        <w:t xml:space="preserve">prozatím </w:t>
      </w:r>
      <w:r w:rsidR="00F5103B">
        <w:rPr>
          <w:rFonts w:ascii="Arial" w:eastAsia="Arial" w:hAnsi="Arial" w:cs="Arial"/>
          <w:sz w:val="22"/>
          <w:szCs w:val="22"/>
        </w:rPr>
        <w:t xml:space="preserve">realizovatelné, </w:t>
      </w:r>
      <w:r>
        <w:rPr>
          <w:rFonts w:ascii="Arial" w:eastAsia="Arial" w:hAnsi="Arial" w:cs="Arial"/>
          <w:sz w:val="22"/>
          <w:szCs w:val="22"/>
        </w:rPr>
        <w:t>s ohledem na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zahajování řešení projektů</w:t>
      </w:r>
      <w:r w:rsidR="00BC27A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podpořených v 1. veřejné soutěž</w:t>
      </w:r>
      <w:r w:rsidR="00BB0543">
        <w:rPr>
          <w:rFonts w:ascii="Arial" w:eastAsia="Arial" w:hAnsi="Arial" w:cs="Arial"/>
          <w:sz w:val="22"/>
          <w:szCs w:val="22"/>
        </w:rPr>
        <w:t>i.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293BAC9" w14:textId="34BF27AD" w:rsidR="00BF465A" w:rsidRDefault="002D223D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Výzkumná rada TA ČR, jako koncepční orgán agentury, proto doporučila změnu programu formou </w:t>
      </w:r>
      <w:r>
        <w:rPr>
          <w:rFonts w:ascii="Arial" w:eastAsia="Arial" w:hAnsi="Arial" w:cs="Arial"/>
          <w:b/>
          <w:sz w:val="22"/>
          <w:szCs w:val="22"/>
        </w:rPr>
        <w:t>sloučení programů NCK1 a NCK2 do programu Národní centra kompetence</w:t>
      </w:r>
      <w:r>
        <w:rPr>
          <w:rFonts w:ascii="Arial" w:eastAsia="Arial" w:hAnsi="Arial" w:cs="Arial"/>
          <w:sz w:val="22"/>
          <w:szCs w:val="22"/>
        </w:rPr>
        <w:t xml:space="preserve"> (dále jen “program NCK”). Sloučení obou programů napomůže efektivnějšímu způsobu realizace podpory dlouhodobé spolupráce mezi výzkumnou a aplikační sférou, a to z následujících důvodů:</w:t>
      </w:r>
    </w:p>
    <w:p w14:paraId="6871762D" w14:textId="4994006E" w:rsidR="00BF465A" w:rsidRDefault="002D223D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vzniklá národní centra kompetence jsou projekty dlouhodobé spolupráce. Omezení jejich délky trvání na dva (resp. maximálně na čtyři) roky se </w:t>
      </w:r>
      <w:r w:rsidR="006458E9">
        <w:rPr>
          <w:rFonts w:ascii="Arial" w:eastAsia="Arial" w:hAnsi="Arial" w:cs="Arial"/>
          <w:sz w:val="22"/>
          <w:szCs w:val="22"/>
        </w:rPr>
        <w:t>v případě jejich</w:t>
      </w:r>
      <w:r w:rsidR="00BB0543">
        <w:rPr>
          <w:rFonts w:ascii="Arial" w:eastAsia="Arial" w:hAnsi="Arial" w:cs="Arial"/>
          <w:sz w:val="22"/>
          <w:szCs w:val="22"/>
        </w:rPr>
        <w:t xml:space="preserve"> funkčnosti </w:t>
      </w:r>
      <w:r>
        <w:rPr>
          <w:rFonts w:ascii="Arial" w:eastAsia="Arial" w:hAnsi="Arial" w:cs="Arial"/>
          <w:sz w:val="22"/>
          <w:szCs w:val="22"/>
        </w:rPr>
        <w:t xml:space="preserve">nejeví </w:t>
      </w:r>
      <w:r w:rsidR="006458E9">
        <w:rPr>
          <w:rFonts w:ascii="Arial" w:eastAsia="Arial" w:hAnsi="Arial" w:cs="Arial"/>
          <w:sz w:val="22"/>
          <w:szCs w:val="22"/>
        </w:rPr>
        <w:t>jako</w:t>
      </w:r>
      <w:r w:rsidR="009A0449">
        <w:rPr>
          <w:rFonts w:ascii="Arial" w:eastAsia="Arial" w:hAnsi="Arial" w:cs="Arial"/>
          <w:sz w:val="22"/>
          <w:szCs w:val="22"/>
        </w:rPr>
        <w:t> </w:t>
      </w:r>
      <w:r w:rsidR="006458E9">
        <w:rPr>
          <w:rFonts w:ascii="Arial" w:eastAsia="Arial" w:hAnsi="Arial" w:cs="Arial"/>
          <w:sz w:val="22"/>
          <w:szCs w:val="22"/>
        </w:rPr>
        <w:t>účelné,</w:t>
      </w:r>
    </w:p>
    <w:p w14:paraId="63CF8F49" w14:textId="77777777" w:rsidR="00BF465A" w:rsidRDefault="002D223D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sloučení programů, oproti tvorbě programu zcela nového, sníží nároky na administrativní kapacity jak poskytovatele, tak uchazečů/příjemců,</w:t>
      </w:r>
    </w:p>
    <w:p w14:paraId="2CB8D5C9" w14:textId="3A31CF0E" w:rsidR="00BF465A" w:rsidRDefault="002D223D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existence dvou </w:t>
      </w:r>
      <w:r w:rsidR="00FA369E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po určitou dobu souběžně běžících </w:t>
      </w:r>
      <w:r w:rsidR="00FA369E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programů se stejným cílem, zaměřením a obsahem je proti původním záměrům</w:t>
      </w:r>
      <w:r w:rsidR="00BB0543">
        <w:rPr>
          <w:rFonts w:ascii="Arial" w:eastAsia="Arial" w:hAnsi="Arial" w:cs="Arial"/>
          <w:sz w:val="22"/>
          <w:szCs w:val="22"/>
        </w:rPr>
        <w:t xml:space="preserve">. Těmi </w:t>
      </w:r>
      <w:r>
        <w:rPr>
          <w:rFonts w:ascii="Arial" w:eastAsia="Arial" w:hAnsi="Arial" w:cs="Arial"/>
          <w:sz w:val="22"/>
          <w:szCs w:val="22"/>
        </w:rPr>
        <w:t>byla podpora dlouhodobé spolupráce mezi výzkumnou a aplikační sférou,</w:t>
      </w:r>
    </w:p>
    <w:p w14:paraId="49EE59EF" w14:textId="77777777" w:rsidR="00BF465A" w:rsidRDefault="002D223D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sloučení programů bude finančně neutrální (poskytovatel nebude mít žádné další nároky na státní rozpočet oproti plánovanému a již schválenému rozsahu uvedenému v původním programu NCK1);</w:t>
      </w:r>
    </w:p>
    <w:p w14:paraId="57FCFE77" w14:textId="5B62CB96" w:rsidR="00BF465A" w:rsidRDefault="002D223D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kontinuit</w:t>
      </w:r>
      <w:r w:rsidR="00BB0543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financování projektů - poskytovatel zajistí, aby nedošlo k dvojímu financování výzkumných aktivit a výsledků projektů v rámci veřejných soutěží ve sloučeném programu Národní centra kompetence. Uchazeči a již vzniklá centra NCK z první veřejné soutěže se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tak</w:t>
      </w:r>
      <w:r w:rsidR="009A044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mohou účastnit dalších veřejných soutěží programu NCK v následujících variantách:</w:t>
      </w:r>
    </w:p>
    <w:p w14:paraId="1FBAF080" w14:textId="33E2D12C" w:rsidR="00BF465A" w:rsidRDefault="002D223D">
      <w:pPr>
        <w:numPr>
          <w:ilvl w:val="0"/>
          <w:numId w:val="1"/>
        </w:numPr>
        <w:spacing w:before="120"/>
        <w:ind w:left="1417" w:hanging="2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varianta: podáním projektu č. 2 do 2. VS soutěže, který bude stejného nebo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obdobného tematického zam</w:t>
      </w:r>
      <w:r w:rsidR="00BC0337">
        <w:rPr>
          <w:rFonts w:ascii="Arial" w:eastAsia="Arial" w:hAnsi="Arial" w:cs="Arial"/>
          <w:sz w:val="22"/>
          <w:szCs w:val="22"/>
        </w:rPr>
        <w:t>ěření jako projekt č. 1 z 1. VS.</w:t>
      </w:r>
      <w:r>
        <w:rPr>
          <w:rFonts w:ascii="Arial" w:eastAsia="Arial" w:hAnsi="Arial" w:cs="Arial"/>
          <w:sz w:val="22"/>
          <w:szCs w:val="22"/>
        </w:rPr>
        <w:t xml:space="preserve"> V případě, že bude projekt č. 2 podpořen a bude </w:t>
      </w:r>
      <w:r w:rsidR="00835759">
        <w:rPr>
          <w:rFonts w:ascii="Arial" w:eastAsia="Arial" w:hAnsi="Arial" w:cs="Arial"/>
          <w:sz w:val="22"/>
          <w:szCs w:val="22"/>
        </w:rPr>
        <w:t>realizován</w:t>
      </w:r>
      <w:r>
        <w:rPr>
          <w:rFonts w:ascii="Arial" w:eastAsia="Arial" w:hAnsi="Arial" w:cs="Arial"/>
          <w:sz w:val="22"/>
          <w:szCs w:val="22"/>
        </w:rPr>
        <w:t>, musí být ukončen první projekt (tudíž</w:t>
      </w:r>
      <w:r w:rsidR="009A0449">
        <w:rPr>
          <w:rFonts w:ascii="Arial" w:eastAsia="Arial" w:hAnsi="Arial" w:cs="Arial"/>
          <w:sz w:val="22"/>
          <w:szCs w:val="22"/>
        </w:rPr>
        <w:t> </w:t>
      </w:r>
      <w:r w:rsidR="00BB0543">
        <w:rPr>
          <w:rFonts w:ascii="Arial" w:eastAsia="Arial" w:hAnsi="Arial" w:cs="Arial"/>
          <w:sz w:val="22"/>
          <w:szCs w:val="22"/>
        </w:rPr>
        <w:t>se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nemůže tento projekt </w:t>
      </w:r>
      <w:r w:rsidR="00BB0543">
        <w:rPr>
          <w:rFonts w:ascii="Arial" w:eastAsia="Arial" w:hAnsi="Arial" w:cs="Arial"/>
          <w:sz w:val="22"/>
          <w:szCs w:val="22"/>
        </w:rPr>
        <w:t xml:space="preserve">prodloužit </w:t>
      </w:r>
      <w:r>
        <w:rPr>
          <w:rFonts w:ascii="Arial" w:eastAsia="Arial" w:hAnsi="Arial" w:cs="Arial"/>
          <w:sz w:val="22"/>
          <w:szCs w:val="22"/>
        </w:rPr>
        <w:t>o další dva roky),</w:t>
      </w:r>
    </w:p>
    <w:p w14:paraId="323406AD" w14:textId="455346E8" w:rsidR="00BF465A" w:rsidRPr="002766DB" w:rsidRDefault="002D223D" w:rsidP="002766DB">
      <w:pPr>
        <w:numPr>
          <w:ilvl w:val="0"/>
          <w:numId w:val="1"/>
        </w:numPr>
        <w:spacing w:after="120"/>
        <w:ind w:left="1418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varianta: podáním projektu č. 2 do 2. VS, který však bude mít jiné tematické zaměření a bude plánovat jiné aktivity než projekt č. 1 z 1. VS. V tomto případě může </w:t>
      </w:r>
      <w:r w:rsidR="00BC0337">
        <w:rPr>
          <w:rFonts w:ascii="Arial" w:eastAsia="Arial" w:hAnsi="Arial" w:cs="Arial"/>
          <w:sz w:val="22"/>
          <w:szCs w:val="22"/>
        </w:rPr>
        <w:t xml:space="preserve">být </w:t>
      </w:r>
      <w:r>
        <w:rPr>
          <w:rFonts w:ascii="Arial" w:eastAsia="Arial" w:hAnsi="Arial" w:cs="Arial"/>
          <w:sz w:val="22"/>
          <w:szCs w:val="22"/>
        </w:rPr>
        <w:t>první projekt prodlouž</w:t>
      </w:r>
      <w:r w:rsidR="00BC0337"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 a to za splnění stanovených podmínek v programu a v zadávací dokumentaci.</w:t>
      </w:r>
    </w:p>
    <w:p w14:paraId="10F0F896" w14:textId="401A31CE" w:rsidR="00BF465A" w:rsidRDefault="002D223D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Součástí navržené změny programu je změna délky trvání programu, která je nyní navržena na 9 let</w:t>
      </w:r>
      <w:r>
        <w:rPr>
          <w:rFonts w:ascii="Arial" w:eastAsia="Arial" w:hAnsi="Arial" w:cs="Arial"/>
          <w:sz w:val="22"/>
          <w:szCs w:val="22"/>
        </w:rPr>
        <w:t xml:space="preserve"> (2018</w:t>
      </w:r>
      <w:r w:rsidR="00FA369E">
        <w:rPr>
          <w:rStyle w:val="nezalamovatge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2026). V rámci této doby trvání programu NCK se předpokládá vyhlášení </w:t>
      </w:r>
      <w:r w:rsidR="000B7181">
        <w:rPr>
          <w:rFonts w:ascii="Arial" w:eastAsia="Arial" w:hAnsi="Arial" w:cs="Arial"/>
          <w:sz w:val="22"/>
          <w:szCs w:val="22"/>
        </w:rPr>
        <w:t>druhé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br/>
        <w:t>veřejné soutěže (dále také “VS”), a to na počátku roku 2020</w:t>
      </w:r>
      <w:r w:rsidR="00BB0543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V této VS bude umožněna podpora až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šestiletých projektů. Na základě vyhodnocení průběhu a výsledků VS a v případě nevyčerpání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prostředků alokovaných v programu v rámci 1. a 2. veřejné soutěže poskytovatel zváží vyhlášení další veřejné soutěže. Doba trvání projektů nesmí přesáhnout dobu trvání programu. </w:t>
      </w:r>
      <w:bookmarkStart w:id="1" w:name="_30j0zll" w:colFirst="0" w:colLast="0"/>
      <w:bookmarkEnd w:id="1"/>
    </w:p>
    <w:p w14:paraId="6D481D60" w14:textId="5A093FD4" w:rsidR="00BF465A" w:rsidRDefault="002D223D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roce 2020 proběhne hodnocení projektů z 1. VS formou průběžných ročních zpráv. Součástí průběžné zprávy bude krátká informace o splnění povinnosti centra NCK zajistit příjmy z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komercializačních aktivit (min. 19 %). Rozpočet centra NCK na další rok </w:t>
      </w:r>
      <w:r w:rsidR="00BB0543"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z w:val="22"/>
          <w:szCs w:val="22"/>
        </w:rPr>
        <w:t>bude vypláce</w:t>
      </w:r>
      <w:r w:rsidR="00BB0543"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 na</w:t>
      </w:r>
      <w:r w:rsidR="0083575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základě této průběžné zprávy. Součástí průběžné zprávy za první rok řešení bude rovněž průběžné hodnocení projektů dle kritérií navržených v programu. Následně se centrum NCK může přihlásit s návrhem projektu do 2. VS, která je plánována na začátek roku 2020 (dle variant výše), nebo si původní projekt může prodloužit o další dva roky (dle podmínek programu a zadávací dokumentace z 1. VS). Hodnocení naplnění těchto podmínek bude probíhat v roce 2020. Poskytovatel předpokládá, že hodnocení návrhů projektů podaných do 2. VS </w:t>
      </w:r>
      <w:r w:rsidR="00BB0543">
        <w:rPr>
          <w:rFonts w:ascii="Arial" w:eastAsia="Arial" w:hAnsi="Arial" w:cs="Arial"/>
          <w:sz w:val="22"/>
          <w:szCs w:val="22"/>
        </w:rPr>
        <w:t>proběhne</w:t>
      </w:r>
      <w:r>
        <w:rPr>
          <w:rFonts w:ascii="Arial" w:eastAsia="Arial" w:hAnsi="Arial" w:cs="Arial"/>
          <w:sz w:val="22"/>
          <w:szCs w:val="22"/>
        </w:rPr>
        <w:t xml:space="preserve"> do října 2020.</w:t>
      </w:r>
    </w:p>
    <w:p w14:paraId="029BCD96" w14:textId="05BC8900" w:rsidR="00BF465A" w:rsidRDefault="002D223D">
      <w:pPr>
        <w:spacing w:before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Cíl a dílčí cíle programu NCK zůstávají stejné jako v programu původním, a to </w:t>
      </w:r>
      <w:r>
        <w:rPr>
          <w:rFonts w:ascii="Arial" w:eastAsia="Arial" w:hAnsi="Arial" w:cs="Arial"/>
          <w:b/>
          <w:sz w:val="22"/>
          <w:szCs w:val="22"/>
        </w:rPr>
        <w:t xml:space="preserve">zvýšení efektivity </w:t>
      </w:r>
      <w:r>
        <w:rPr>
          <w:rFonts w:ascii="Arial" w:eastAsia="Arial" w:hAnsi="Arial" w:cs="Arial"/>
          <w:b/>
          <w:sz w:val="22"/>
          <w:szCs w:val="22"/>
        </w:rPr>
        <w:br/>
        <w:t xml:space="preserve">a kvality výsledků aplikovaného výzkumu a transferu technologií v klíčových oborech </w:t>
      </w:r>
      <w:r>
        <w:rPr>
          <w:rFonts w:ascii="Arial" w:eastAsia="Arial" w:hAnsi="Arial" w:cs="Arial"/>
          <w:b/>
          <w:sz w:val="22"/>
          <w:szCs w:val="22"/>
        </w:rPr>
        <w:br/>
        <w:t xml:space="preserve">s perspektivou růstu, zvýšení konkurenceschopnosti podniků a posílení excelence </w:t>
      </w:r>
      <w:r>
        <w:rPr>
          <w:rFonts w:ascii="Arial" w:eastAsia="Arial" w:hAnsi="Arial" w:cs="Arial"/>
          <w:b/>
          <w:sz w:val="22"/>
          <w:szCs w:val="22"/>
        </w:rPr>
        <w:br/>
        <w:t xml:space="preserve">a aplikační relevance výzkumných organizací. </w:t>
      </w:r>
      <w:r>
        <w:rPr>
          <w:rFonts w:ascii="Arial" w:eastAsia="Arial" w:hAnsi="Arial" w:cs="Arial"/>
          <w:sz w:val="22"/>
          <w:szCs w:val="22"/>
        </w:rPr>
        <w:t>Mezi dílčí cíle programu patří (i) propojení stávajících výzkumných center, (</w:t>
      </w:r>
      <w:proofErr w:type="spellStart"/>
      <w:r>
        <w:rPr>
          <w:rFonts w:ascii="Arial" w:eastAsia="Arial" w:hAnsi="Arial" w:cs="Arial"/>
          <w:sz w:val="22"/>
          <w:szCs w:val="22"/>
        </w:rPr>
        <w:t>ii</w:t>
      </w:r>
      <w:proofErr w:type="spellEnd"/>
      <w:r>
        <w:rPr>
          <w:rFonts w:ascii="Arial" w:eastAsia="Arial" w:hAnsi="Arial" w:cs="Arial"/>
          <w:sz w:val="22"/>
          <w:szCs w:val="22"/>
        </w:rPr>
        <w:t>) zaměření na perspektivní sektory české ekonomiky dle Národní RIS3 strategie, (</w:t>
      </w:r>
      <w:proofErr w:type="spellStart"/>
      <w:r>
        <w:rPr>
          <w:rFonts w:ascii="Arial" w:eastAsia="Arial" w:hAnsi="Arial" w:cs="Arial"/>
          <w:sz w:val="22"/>
          <w:szCs w:val="22"/>
        </w:rPr>
        <w:t>iii</w:t>
      </w:r>
      <w:proofErr w:type="spellEnd"/>
      <w:r>
        <w:rPr>
          <w:rFonts w:ascii="Arial" w:eastAsia="Arial" w:hAnsi="Arial" w:cs="Arial"/>
          <w:sz w:val="22"/>
          <w:szCs w:val="22"/>
        </w:rPr>
        <w:t>) zajištění mezioborovosti a podpora dlouhodobé spolupráce, (</w:t>
      </w:r>
      <w:proofErr w:type="spellStart"/>
      <w:r>
        <w:rPr>
          <w:rFonts w:ascii="Arial" w:eastAsia="Arial" w:hAnsi="Arial" w:cs="Arial"/>
          <w:sz w:val="22"/>
          <w:szCs w:val="22"/>
        </w:rPr>
        <w:t>iv</w:t>
      </w:r>
      <w:proofErr w:type="spellEnd"/>
      <w:r>
        <w:rPr>
          <w:rFonts w:ascii="Arial" w:eastAsia="Arial" w:hAnsi="Arial" w:cs="Arial"/>
          <w:sz w:val="22"/>
          <w:szCs w:val="22"/>
        </w:rPr>
        <w:t>) podpora inovací prostřednictvím transferu technologií, důraz na ap</w:t>
      </w:r>
      <w:r w:rsidR="00835759">
        <w:rPr>
          <w:rFonts w:ascii="Arial" w:eastAsia="Arial" w:hAnsi="Arial" w:cs="Arial"/>
          <w:sz w:val="22"/>
          <w:szCs w:val="22"/>
        </w:rPr>
        <w:t xml:space="preserve">likovatelnost výsledků v praxi </w:t>
      </w:r>
      <w:r>
        <w:rPr>
          <w:rFonts w:ascii="Arial" w:eastAsia="Arial" w:hAnsi="Arial" w:cs="Arial"/>
          <w:sz w:val="22"/>
          <w:szCs w:val="22"/>
        </w:rPr>
        <w:t>a (v) zvýšení počtu inovačních lídrů.</w:t>
      </w:r>
    </w:p>
    <w:p w14:paraId="2E2AA193" w14:textId="0967D552" w:rsidR="00BF465A" w:rsidRDefault="002D223D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Změny proběhly u indikátorové soustavy, která byla adekvátně přepočítána s ohledem na předpokládaný vývoj vyhlašovaných veřejných soutěží. Stejně tak byl aktualizován rozpočet programu dle původní a již schválené predikce v programu NCK1, který zároveň zohledňuje předpokládaný počet a rozsah veřejných soutěží. Text programu </w:t>
      </w:r>
      <w:r w:rsidR="00BB0543">
        <w:rPr>
          <w:rFonts w:ascii="Arial" w:eastAsia="Arial" w:hAnsi="Arial" w:cs="Arial"/>
          <w:sz w:val="22"/>
          <w:szCs w:val="22"/>
        </w:rPr>
        <w:t xml:space="preserve">je </w:t>
      </w:r>
      <w:r>
        <w:rPr>
          <w:rFonts w:ascii="Arial" w:eastAsia="Arial" w:hAnsi="Arial" w:cs="Arial"/>
          <w:sz w:val="22"/>
          <w:szCs w:val="22"/>
        </w:rPr>
        <w:t>formálně upraven tak, aby odpovídal současnému stavu věci -  sloučení programů NCK1 s NCK2.</w:t>
      </w:r>
    </w:p>
    <w:p w14:paraId="34855315" w14:textId="4D6DF8F3" w:rsidR="00BF465A" w:rsidRDefault="002D223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Celkové výdaje programu NCK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jsou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980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mil. Kč, z toho 7 184 mil. Kč j</w:t>
      </w:r>
      <w:r>
        <w:rPr>
          <w:rFonts w:ascii="Arial" w:eastAsia="Arial" w:hAnsi="Arial" w:cs="Arial"/>
          <w:sz w:val="22"/>
          <w:szCs w:val="22"/>
        </w:rPr>
        <w:t>sou plánované výdaje státního rozpočtu</w:t>
      </w:r>
      <w:r>
        <w:rPr>
          <w:rFonts w:ascii="Arial" w:eastAsia="Arial" w:hAnsi="Arial" w:cs="Arial"/>
          <w:color w:val="000000"/>
          <w:sz w:val="22"/>
          <w:szCs w:val="22"/>
        </w:rPr>
        <w:t>. Příjemci podpory z programu jsou zejména výzkumné organizace</w:t>
      </w:r>
      <w:r w:rsidR="00FA6AE5">
        <w:rPr>
          <w:rFonts w:ascii="Arial" w:eastAsia="Arial" w:hAnsi="Arial" w:cs="Arial"/>
          <w:color w:val="000000"/>
          <w:sz w:val="22"/>
          <w:szCs w:val="22"/>
        </w:rPr>
        <w:t xml:space="preserve"> a podniky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Průměrná intenzita podpory na program ze státního rozpočtu je 80 %. Veřejné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ýdaje na program budou hrazeny v rámci limitů výdajů státního rozpočtu na podporu výzkumu, vývoje a inovací schválených pro jednotlivá období. Jedním z cílů programu je však vybudování center NCK, jejichž činnost bude</w:t>
      </w:r>
      <w:r w:rsidR="00835759">
        <w:rPr>
          <w:rFonts w:ascii="Arial" w:eastAsia="Arial" w:hAnsi="Arial" w:cs="Arial"/>
          <w:color w:val="000000"/>
          <w:sz w:val="22"/>
          <w:szCs w:val="22"/>
        </w:rPr>
        <w:t> 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hrazena nejen ze samotného programu Národní centra kompetence, ale také ze smluvního výzkumu, dalších příjmů z podnikové sféry a také z dalších národních či evropských programů podporujících projekty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kolaborativního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výzkumu a vývoje.</w:t>
      </w:r>
    </w:p>
    <w:p w14:paraId="79D10C77" w14:textId="7DE2A73B" w:rsidR="00BF465A" w:rsidRDefault="002D223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Návrhy projektů budou komplexně hodnoceny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základě kritérií stanovených veřejnou soutěží. Do hodnocení návrhů projektů budou zapojeni zahraniční hodnotitelé, stejně jako do hodnocení realizace projektů (jednotlivé projekty budou v průběhu realizace minimálně jednou vyhodnoceny). V případě nesplnění podmínek bude možné realizace jednotlivých projektů ukončit. </w:t>
      </w:r>
    </w:p>
    <w:p w14:paraId="56002601" w14:textId="7ADF4B95" w:rsidR="00BF465A" w:rsidRPr="00386ECC" w:rsidRDefault="002D223D" w:rsidP="00386EC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2" w:name="_1fob9te" w:colFirst="0" w:colLast="0"/>
      <w:bookmarkEnd w:id="2"/>
      <w:r>
        <w:rPr>
          <w:rFonts w:ascii="Arial" w:eastAsia="Arial" w:hAnsi="Arial" w:cs="Arial"/>
          <w:b/>
          <w:color w:val="000000"/>
          <w:sz w:val="22"/>
          <w:szCs w:val="22"/>
        </w:rPr>
        <w:t>Program NCK bude realizován v souladu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</w:t>
      </w:r>
      <w:r w:rsidR="00386EC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>Národní politikou výzkumu, vývoje a inovací České republiky na léta 2016 až 2020, schválenou usnesením vlády České republiky ze dne 17. února 2016 č. 135, Národními prioritami orientovaného výzkumu, experimentálního vývoje a inovací, které</w:t>
      </w:r>
      <w:r w:rsidR="00835759">
        <w:rPr>
          <w:rFonts w:ascii="Arial" w:eastAsia="Arial" w:hAnsi="Arial" w:cs="Arial"/>
          <w:color w:val="000000"/>
          <w:sz w:val="22"/>
          <w:szCs w:val="22"/>
        </w:rPr>
        <w:t> </w:t>
      </w:r>
      <w:r w:rsidR="00BB0543" w:rsidRPr="00386ECC">
        <w:rPr>
          <w:rFonts w:ascii="Arial" w:eastAsia="Arial" w:hAnsi="Arial" w:cs="Arial"/>
          <w:color w:val="000000"/>
          <w:sz w:val="22"/>
          <w:szCs w:val="22"/>
        </w:rPr>
        <w:t>přijala svým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usnesením vlád</w:t>
      </w:r>
      <w:r w:rsidR="00BB0543" w:rsidRPr="00386ECC">
        <w:rPr>
          <w:rFonts w:ascii="Arial" w:eastAsia="Arial" w:hAnsi="Arial" w:cs="Arial"/>
          <w:color w:val="000000"/>
          <w:sz w:val="22"/>
          <w:szCs w:val="22"/>
        </w:rPr>
        <w:t>a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dne 19. července 2012 č. 552, aktualizovanou Národní výzkumnou a inovační strategií pro inteligentní specializaci České republiky, schválenou usnesením vlády České republiky dne 11. července 2016 č. 634, principy Iniciativy Průmysl 4.0</w:t>
      </w:r>
      <w:r w:rsidR="00784BCC">
        <w:rPr>
          <w:rFonts w:ascii="Arial" w:eastAsia="Arial" w:hAnsi="Arial" w:cs="Arial"/>
          <w:color w:val="000000"/>
          <w:sz w:val="22"/>
          <w:szCs w:val="22"/>
        </w:rPr>
        <w:t>, kterou vzala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na</w:t>
      </w:r>
      <w:r w:rsidR="00835759">
        <w:rPr>
          <w:rFonts w:ascii="Arial" w:eastAsia="Arial" w:hAnsi="Arial" w:cs="Arial"/>
          <w:color w:val="000000"/>
          <w:sz w:val="22"/>
          <w:szCs w:val="22"/>
        </w:rPr>
        <w:t> 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>vědomí vlád</w:t>
      </w:r>
      <w:r w:rsidR="00784BCC">
        <w:rPr>
          <w:rFonts w:ascii="Arial" w:eastAsia="Arial" w:hAnsi="Arial" w:cs="Arial"/>
          <w:color w:val="000000"/>
          <w:sz w:val="22"/>
          <w:szCs w:val="22"/>
        </w:rPr>
        <w:t>a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usne</w:t>
      </w:r>
      <w:r w:rsidR="00386ECC">
        <w:rPr>
          <w:rFonts w:ascii="Arial" w:eastAsia="Arial" w:hAnsi="Arial" w:cs="Arial"/>
          <w:color w:val="000000"/>
          <w:sz w:val="22"/>
          <w:szCs w:val="22"/>
        </w:rPr>
        <w:t xml:space="preserve">sením č. 729 dne 24. srpna 2016, 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dalšími národními a </w:t>
      </w:r>
      <w:r w:rsidRPr="00386ECC">
        <w:rPr>
          <w:rFonts w:ascii="Arial" w:eastAsia="Arial" w:hAnsi="Arial" w:cs="Arial"/>
          <w:sz w:val="22"/>
          <w:szCs w:val="22"/>
        </w:rPr>
        <w:t>resortními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strategiemi, </w:t>
      </w:r>
      <w:r w:rsidRPr="00386ECC">
        <w:rPr>
          <w:rFonts w:ascii="Arial" w:eastAsia="Arial" w:hAnsi="Arial" w:cs="Arial"/>
          <w:sz w:val="22"/>
          <w:szCs w:val="22"/>
        </w:rPr>
        <w:t>včetně Strategického rámce hospodářské restrukturalizace Ústeckého, Moravskoslezského a</w:t>
      </w:r>
      <w:r w:rsidR="00835759">
        <w:rPr>
          <w:rFonts w:ascii="Arial" w:eastAsia="Arial" w:hAnsi="Arial" w:cs="Arial"/>
          <w:sz w:val="22"/>
          <w:szCs w:val="22"/>
        </w:rPr>
        <w:t> </w:t>
      </w:r>
      <w:r w:rsidRPr="00386ECC">
        <w:rPr>
          <w:rFonts w:ascii="Arial" w:eastAsia="Arial" w:hAnsi="Arial" w:cs="Arial"/>
          <w:sz w:val="22"/>
          <w:szCs w:val="22"/>
        </w:rPr>
        <w:t>Karlovarského kraje. Program bude rovněž napomáhat naplňovat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Inovační strategii ČR, schválenou dne 4. února 2019 usnesením vlády č. </w:t>
      </w:r>
      <w:r w:rsidRPr="00386ECC">
        <w:rPr>
          <w:rFonts w:ascii="Arial" w:eastAsia="Arial" w:hAnsi="Arial" w:cs="Arial"/>
          <w:sz w:val="22"/>
          <w:szCs w:val="22"/>
        </w:rPr>
        <w:t>104</w:t>
      </w:r>
      <w:r w:rsidR="000B7181" w:rsidRPr="00386ECC">
        <w:rPr>
          <w:rFonts w:ascii="Arial" w:eastAsia="Arial" w:hAnsi="Arial" w:cs="Arial"/>
          <w:sz w:val="22"/>
          <w:szCs w:val="22"/>
        </w:rPr>
        <w:t>.</w:t>
      </w:r>
      <w:r w:rsidRPr="00386ECC">
        <w:rPr>
          <w:rFonts w:ascii="Arial" w:eastAsia="Arial" w:hAnsi="Arial" w:cs="Arial"/>
          <w:color w:val="000000"/>
          <w:sz w:val="22"/>
          <w:szCs w:val="22"/>
        </w:rPr>
        <w:t xml:space="preserve"> Program vychází také z Koncepce rozvoje TA ČR 2016 – 2025.</w:t>
      </w:r>
    </w:p>
    <w:p w14:paraId="5EBEE308" w14:textId="311E3403" w:rsidR="00BF465A" w:rsidRDefault="002D223D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Materiál byl projednán</w:t>
      </w:r>
      <w:r w:rsidR="0071726C">
        <w:rPr>
          <w:rFonts w:ascii="Arial" w:eastAsia="Arial" w:hAnsi="Arial" w:cs="Arial"/>
          <w:sz w:val="22"/>
          <w:szCs w:val="22"/>
        </w:rPr>
        <w:t xml:space="preserve"> poprvé na 339. zasedání Rady, které se konalo dne 26. října 2018. Ra</w:t>
      </w:r>
      <w:r w:rsidR="003F7425">
        <w:rPr>
          <w:rFonts w:ascii="Arial" w:eastAsia="Arial" w:hAnsi="Arial" w:cs="Arial"/>
          <w:sz w:val="22"/>
          <w:szCs w:val="22"/>
        </w:rPr>
        <w:t>da</w:t>
      </w:r>
      <w:r w:rsidR="0071726C">
        <w:rPr>
          <w:rFonts w:ascii="Arial" w:eastAsia="Arial" w:hAnsi="Arial" w:cs="Arial"/>
          <w:sz w:val="22"/>
          <w:szCs w:val="22"/>
        </w:rPr>
        <w:t xml:space="preserve"> požadovala doplnit materiál o upřesnění parametrů </w:t>
      </w:r>
      <w:r w:rsidR="0071726C" w:rsidRPr="0071726C">
        <w:rPr>
          <w:rFonts w:ascii="Arial" w:eastAsia="Arial" w:hAnsi="Arial" w:cs="Arial"/>
          <w:sz w:val="22"/>
          <w:szCs w:val="22"/>
        </w:rPr>
        <w:t>(cílů), kterých by bylo dosaženo sloučením obou programů (NCK 1 a NCK 2)</w:t>
      </w:r>
      <w:r w:rsidR="003F7425">
        <w:rPr>
          <w:rFonts w:ascii="Arial" w:eastAsia="Arial" w:hAnsi="Arial" w:cs="Arial"/>
          <w:sz w:val="22"/>
          <w:szCs w:val="22"/>
        </w:rPr>
        <w:t>. TA ČR toto zpracovala a předložila společně s návrhem programu</w:t>
      </w:r>
      <w:r w:rsidR="00312582">
        <w:rPr>
          <w:rFonts w:ascii="Arial" w:eastAsia="Arial" w:hAnsi="Arial" w:cs="Arial"/>
          <w:sz w:val="22"/>
          <w:szCs w:val="22"/>
        </w:rPr>
        <w:br/>
      </w:r>
      <w:r w:rsidR="003F7425">
        <w:rPr>
          <w:rFonts w:ascii="Arial" w:eastAsia="Arial" w:hAnsi="Arial" w:cs="Arial"/>
          <w:sz w:val="22"/>
          <w:szCs w:val="22"/>
        </w:rPr>
        <w:lastRenderedPageBreak/>
        <w:t>na</w:t>
      </w:r>
      <w:r w:rsidR="00312582">
        <w:rPr>
          <w:rFonts w:ascii="Arial" w:eastAsia="Arial" w:hAnsi="Arial" w:cs="Arial"/>
          <w:sz w:val="22"/>
          <w:szCs w:val="22"/>
        </w:rPr>
        <w:t xml:space="preserve"> </w:t>
      </w:r>
      <w:r w:rsidR="003F7425">
        <w:rPr>
          <w:rFonts w:ascii="Arial" w:eastAsia="Arial" w:hAnsi="Arial" w:cs="Arial"/>
          <w:sz w:val="22"/>
          <w:szCs w:val="22"/>
        </w:rPr>
        <w:t>341. zasedání Rady dne 14. prosince 2018, kde byl materiál projednán</w:t>
      </w:r>
      <w:r>
        <w:rPr>
          <w:rFonts w:ascii="Arial" w:eastAsia="Arial" w:hAnsi="Arial" w:cs="Arial"/>
          <w:sz w:val="22"/>
          <w:szCs w:val="22"/>
        </w:rPr>
        <w:t xml:space="preserve"> a stanovisko Rady schváleno</w:t>
      </w:r>
      <w:r w:rsidR="003F7425">
        <w:rPr>
          <w:rFonts w:ascii="Arial" w:eastAsia="Arial" w:hAnsi="Arial" w:cs="Arial"/>
          <w:sz w:val="22"/>
          <w:szCs w:val="22"/>
        </w:rPr>
        <w:t>. Na tomto zasedání Rada nevznesla žádné připomínky.</w:t>
      </w:r>
    </w:p>
    <w:p w14:paraId="5C188E9C" w14:textId="40C66042" w:rsidR="00BF465A" w:rsidRDefault="002D223D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 meziresortního připomínkového řízení byl materiál rozeslán 20. 12. 2018 s termínem</w:t>
      </w:r>
      <w:r>
        <w:rPr>
          <w:rFonts w:ascii="Arial" w:eastAsia="Arial" w:hAnsi="Arial" w:cs="Arial"/>
          <w:sz w:val="22"/>
          <w:szCs w:val="22"/>
        </w:rPr>
        <w:br/>
        <w:t xml:space="preserve">zaslání připomínek </w:t>
      </w:r>
      <w:r w:rsidR="000E1C2A">
        <w:rPr>
          <w:rFonts w:ascii="Arial" w:eastAsia="Arial" w:hAnsi="Arial" w:cs="Arial"/>
          <w:sz w:val="22"/>
          <w:szCs w:val="22"/>
        </w:rPr>
        <w:t>do 9. 1. 2019. B</w:t>
      </w:r>
      <w:r>
        <w:rPr>
          <w:rFonts w:ascii="Arial" w:eastAsia="Arial" w:hAnsi="Arial" w:cs="Arial"/>
          <w:sz w:val="22"/>
          <w:szCs w:val="22"/>
        </w:rPr>
        <w:t>yly doručeny připomínky z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pěti připomínkových míst. Vypořádání výsledků meziresortního připomínkového řízení je uvedeno v části IV. předkládaného materiálu. </w:t>
      </w:r>
      <w:r w:rsidRPr="00275519">
        <w:rPr>
          <w:rFonts w:ascii="Arial" w:eastAsia="Arial" w:hAnsi="Arial" w:cs="Arial"/>
          <w:sz w:val="22"/>
          <w:szCs w:val="22"/>
        </w:rPr>
        <w:t>Mat</w:t>
      </w:r>
      <w:r w:rsidR="000B7181" w:rsidRPr="00275519">
        <w:rPr>
          <w:rFonts w:ascii="Arial" w:eastAsia="Arial" w:hAnsi="Arial" w:cs="Arial"/>
          <w:sz w:val="22"/>
          <w:szCs w:val="22"/>
        </w:rPr>
        <w:t xml:space="preserve">eriál je předkládán </w:t>
      </w:r>
      <w:r w:rsidR="00275519" w:rsidRPr="00275519">
        <w:rPr>
          <w:rFonts w:ascii="Arial" w:eastAsia="Arial" w:hAnsi="Arial" w:cs="Arial"/>
          <w:sz w:val="22"/>
          <w:szCs w:val="22"/>
        </w:rPr>
        <w:t>bez rozporu.</w:t>
      </w:r>
    </w:p>
    <w:p w14:paraId="15678864" w14:textId="0EA65BD6" w:rsidR="00FA6AE5" w:rsidRDefault="00FA6AE5">
      <w:pP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Na základě dodatečné připomínky vznesené Radou pro výzkum, vývoj a inovace byl materiál upraven a znovu předložen na 344. zasedání Rady, které se koná dne 29. března 2019. Po tomto projednání bude materiál předložen rovnou na jednání vlády ČR a nebude již </w:t>
      </w:r>
      <w:bookmarkStart w:id="3" w:name="_GoBack"/>
      <w:bookmarkEnd w:id="3"/>
      <w:r w:rsidR="00B454BA">
        <w:rPr>
          <w:rFonts w:ascii="Arial" w:hAnsi="Arial" w:cs="Arial"/>
          <w:color w:val="000000"/>
          <w:sz w:val="22"/>
          <w:szCs w:val="22"/>
        </w:rPr>
        <w:t>rozeslán</w:t>
      </w:r>
      <w:r w:rsidR="00B454B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do</w:t>
      </w:r>
      <w:r w:rsidR="00B454BA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meziresortního připomínkového řízení.</w:t>
      </w:r>
    </w:p>
    <w:p w14:paraId="3523D54F" w14:textId="77777777" w:rsidR="00BF465A" w:rsidRDefault="00BF46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</w:p>
    <w:p w14:paraId="3ABAFAFC" w14:textId="77777777" w:rsidR="00BF465A" w:rsidRDefault="00BF465A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</w:p>
    <w:sectPr w:rsidR="00BF465A" w:rsidSect="00276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20" w:footer="425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59ECC" w14:textId="77777777" w:rsidR="00DC7F79" w:rsidRDefault="00DC7F79">
      <w:r>
        <w:separator/>
      </w:r>
    </w:p>
  </w:endnote>
  <w:endnote w:type="continuationSeparator" w:id="0">
    <w:p w14:paraId="65DE9AFB" w14:textId="77777777" w:rsidR="00DC7F79" w:rsidRDefault="00DC7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3DC9F" w14:textId="77777777" w:rsidR="00BF465A" w:rsidRDefault="00BF465A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347CF" w14:textId="0990712F" w:rsidR="00BF465A" w:rsidRDefault="002D223D" w:rsidP="002766DB">
    <w:pPr>
      <w:pBdr>
        <w:top w:val="nil"/>
        <w:left w:val="nil"/>
        <w:bottom w:val="nil"/>
        <w:right w:val="nil"/>
        <w:between w:val="nil"/>
      </w:pBdr>
      <w:spacing w:after="24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2766DB">
      <w:rPr>
        <w:rFonts w:ascii="Arial" w:eastAsia="Arial" w:hAnsi="Arial" w:cs="Arial"/>
        <w:noProof/>
        <w:color w:val="000000"/>
        <w:sz w:val="22"/>
        <w:szCs w:val="22"/>
      </w:rPr>
      <w:t>3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2766DB">
      <w:rPr>
        <w:rFonts w:ascii="Arial" w:eastAsia="Arial" w:hAnsi="Arial" w:cs="Arial"/>
        <w:noProof/>
        <w:color w:val="000000"/>
        <w:sz w:val="22"/>
        <w:szCs w:val="22"/>
      </w:rPr>
      <w:t>3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981E" w14:textId="77777777" w:rsidR="00BF465A" w:rsidRDefault="00BF465A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7A3C0" w14:textId="77777777" w:rsidR="00DC7F79" w:rsidRDefault="00DC7F79">
      <w:r>
        <w:separator/>
      </w:r>
    </w:p>
  </w:footnote>
  <w:footnote w:type="continuationSeparator" w:id="0">
    <w:p w14:paraId="12B55D05" w14:textId="77777777" w:rsidR="00DC7F79" w:rsidRDefault="00DC7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FDFD6" w14:textId="77777777" w:rsidR="00BF465A" w:rsidRDefault="00BF465A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0EC2" w14:textId="77777777" w:rsidR="00BF465A" w:rsidRDefault="00BF465A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596EE" w14:textId="77777777" w:rsidR="00BF465A" w:rsidRDefault="00BF465A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317"/>
    <w:multiLevelType w:val="multilevel"/>
    <w:tmpl w:val="6FB888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F03B37"/>
    <w:multiLevelType w:val="hybridMultilevel"/>
    <w:tmpl w:val="BAC6E8F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641C9B"/>
    <w:multiLevelType w:val="multilevel"/>
    <w:tmpl w:val="582042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5A"/>
    <w:rsid w:val="000720E1"/>
    <w:rsid w:val="000B7181"/>
    <w:rsid w:val="000E1C2A"/>
    <w:rsid w:val="00156D74"/>
    <w:rsid w:val="001B2263"/>
    <w:rsid w:val="00275519"/>
    <w:rsid w:val="002766DB"/>
    <w:rsid w:val="00285295"/>
    <w:rsid w:val="002D223D"/>
    <w:rsid w:val="00312582"/>
    <w:rsid w:val="00386ECC"/>
    <w:rsid w:val="003F7425"/>
    <w:rsid w:val="005A097B"/>
    <w:rsid w:val="005E575E"/>
    <w:rsid w:val="00625B5C"/>
    <w:rsid w:val="006458E9"/>
    <w:rsid w:val="006F1C96"/>
    <w:rsid w:val="0071726C"/>
    <w:rsid w:val="00784BCC"/>
    <w:rsid w:val="00835759"/>
    <w:rsid w:val="009035A8"/>
    <w:rsid w:val="009315E2"/>
    <w:rsid w:val="009866FD"/>
    <w:rsid w:val="009A0449"/>
    <w:rsid w:val="009D6542"/>
    <w:rsid w:val="009D7418"/>
    <w:rsid w:val="00AA4C8E"/>
    <w:rsid w:val="00B454BA"/>
    <w:rsid w:val="00BB0543"/>
    <w:rsid w:val="00BC0337"/>
    <w:rsid w:val="00BC27A1"/>
    <w:rsid w:val="00BF465A"/>
    <w:rsid w:val="00D96977"/>
    <w:rsid w:val="00DC7F79"/>
    <w:rsid w:val="00DE6119"/>
    <w:rsid w:val="00E10DA9"/>
    <w:rsid w:val="00E709AA"/>
    <w:rsid w:val="00F5103B"/>
    <w:rsid w:val="00FA369E"/>
    <w:rsid w:val="00FA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E4C60"/>
  <w15:docId w15:val="{E995BC6B-DA01-4AD6-AD92-9F81F198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BB05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054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05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0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05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05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5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84BCC"/>
    <w:pPr>
      <w:ind w:left="720"/>
      <w:contextualSpacing/>
    </w:pPr>
  </w:style>
  <w:style w:type="character" w:customStyle="1" w:styleId="nezalamovatgen">
    <w:name w:val="nezalamovatgen"/>
    <w:basedOn w:val="Standardnpsmoodstavce"/>
    <w:rsid w:val="0015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B3A35-1869-45A4-9D24-629AC79D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Lukáš</dc:creator>
  <cp:lastModifiedBy>Michaela Orlová</cp:lastModifiedBy>
  <cp:revision>16</cp:revision>
  <cp:lastPrinted>2019-03-12T17:01:00Z</cp:lastPrinted>
  <dcterms:created xsi:type="dcterms:W3CDTF">2019-02-26T16:21:00Z</dcterms:created>
  <dcterms:modified xsi:type="dcterms:W3CDTF">2019-03-25T11:38:00Z</dcterms:modified>
</cp:coreProperties>
</file>